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8.65pt;width:486.4pt;" fillcolor="#000000" filled="t" o:preferrelative="t" coordsize="21600,21600">
            <v:path/>
            <v:fill on="t" focussize="0,0"/>
            <v:stroke miterlimit="2"/>
            <v:imagedata o:title=""/>
            <o:lock v:ext="edit" text="f"/>
            <v:textpath on="t" fitshape="t" fitpath="t" trim="t" xscale="f" string="鄂尔多斯市空港实业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55pt;width:176.65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项目名称：航站楼一楼商铺增加隔断及卷帘门项目</w:t>
      </w:r>
    </w:p>
    <w:p>
      <w:pPr>
        <w:jc w:val="center"/>
        <w:rPr>
          <w:rFonts w:ascii="仿宋" w:hAnsi="仿宋" w:eastAsia="仿宋"/>
          <w:b/>
          <w:sz w:val="44"/>
          <w:szCs w:val="44"/>
        </w:rPr>
      </w:pPr>
      <w:r>
        <w:rPr>
          <w:rFonts w:hint="eastAsia" w:ascii="仿宋" w:hAnsi="仿宋" w:eastAsia="仿宋"/>
          <w:b/>
          <w:sz w:val="44"/>
          <w:szCs w:val="44"/>
        </w:rPr>
        <w:t>项目编号：WX/SYGS-18-001-W</w:t>
      </w:r>
    </w:p>
    <w:p>
      <w:pPr>
        <w:jc w:val="center"/>
        <w:rPr>
          <w:rFonts w:ascii="仿宋" w:hAnsi="仿宋" w:eastAsia="仿宋"/>
          <w:b/>
          <w:sz w:val="52"/>
          <w:szCs w:val="52"/>
        </w:rPr>
      </w:pPr>
    </w:p>
    <w:p>
      <w:pPr>
        <w:widowControl/>
        <w:jc w:val="center"/>
        <w:rPr>
          <w:rFonts w:ascii="方正小标宋简体" w:hAnsi="仿宋" w:eastAsia="方正小标宋简体"/>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7"/>
        <w:tabs>
          <w:tab w:val="right" w:leader="dot" w:pos="9742"/>
        </w:tabs>
        <w:rPr>
          <w:rFonts w:ascii="仿宋_GB2312" w:eastAsia="仿宋_GB2312" w:hAnsiTheme="minorHAnsi" w:cstheme="minorBidi"/>
          <w:sz w:val="32"/>
          <w:szCs w:val="30"/>
        </w:rPr>
      </w:pPr>
      <w:r>
        <w:rPr>
          <w:rFonts w:hint="eastAsia" w:ascii="仿宋_GB2312" w:hAnsi="仿宋" w:eastAsia="仿宋_GB2312"/>
          <w:sz w:val="32"/>
          <w:szCs w:val="30"/>
        </w:rPr>
        <w:fldChar w:fldCharType="begin"/>
      </w:r>
      <w:r>
        <w:rPr>
          <w:rFonts w:hint="eastAsia" w:ascii="仿宋_GB2312" w:hAnsi="仿宋" w:eastAsia="仿宋_GB2312"/>
          <w:sz w:val="32"/>
          <w:szCs w:val="30"/>
        </w:rPr>
        <w:instrText xml:space="preserve"> TOC \o "1-3" \h \z \u </w:instrText>
      </w:r>
      <w:r>
        <w:rPr>
          <w:rFonts w:hint="eastAsia" w:ascii="仿宋_GB2312" w:hAnsi="仿宋" w:eastAsia="仿宋_GB2312"/>
          <w:sz w:val="32"/>
          <w:szCs w:val="30"/>
        </w:rPr>
        <w:fldChar w:fldCharType="separate"/>
      </w:r>
      <w:r>
        <w:fldChar w:fldCharType="begin"/>
      </w:r>
      <w:r>
        <w:instrText xml:space="preserve"> HYPERLINK \l "_Toc510190953" </w:instrText>
      </w:r>
      <w:r>
        <w:fldChar w:fldCharType="separate"/>
      </w:r>
      <w:r>
        <w:rPr>
          <w:rStyle w:val="10"/>
          <w:rFonts w:hint="eastAsia" w:ascii="仿宋_GB2312" w:hAnsi="仿宋" w:eastAsia="仿宋_GB2312"/>
          <w:sz w:val="32"/>
          <w:szCs w:val="30"/>
        </w:rPr>
        <w:t>第一章  竞争性磋商公告</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_Toc510190953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"_Toc510190954" </w:instrText>
      </w:r>
      <w:r>
        <w:fldChar w:fldCharType="separate"/>
      </w:r>
      <w:r>
        <w:rPr>
          <w:rStyle w:val="10"/>
          <w:rFonts w:hint="eastAsia" w:ascii="仿宋_GB2312" w:hAnsi="仿宋" w:eastAsia="仿宋_GB2312"/>
          <w:sz w:val="32"/>
          <w:szCs w:val="30"/>
        </w:rPr>
        <w:t>一、项目概况</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_Toc510190954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"_Toc510190955" </w:instrText>
      </w:r>
      <w:r>
        <w:fldChar w:fldCharType="separate"/>
      </w:r>
      <w:r>
        <w:rPr>
          <w:rStyle w:val="10"/>
          <w:rFonts w:hint="eastAsia" w:ascii="仿宋_GB2312" w:hAnsi="仿宋" w:eastAsia="仿宋_GB2312"/>
          <w:sz w:val="32"/>
          <w:szCs w:val="30"/>
        </w:rPr>
        <w:t>二、供应商的资格要求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_Toc510190955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"_Toc510190956" </w:instrText>
      </w:r>
      <w:r>
        <w:fldChar w:fldCharType="separate"/>
      </w:r>
      <w:r>
        <w:rPr>
          <w:rStyle w:val="10"/>
          <w:rFonts w:hint="eastAsia" w:ascii="仿宋_GB2312" w:hAnsi="仿宋" w:eastAsia="仿宋_GB2312"/>
          <w:sz w:val="32"/>
          <w:szCs w:val="30"/>
        </w:rPr>
        <w:t>三、递交响应文件截止（评标）时间、地点</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_Toc510190956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"_Toc510190957" </w:instrText>
      </w:r>
      <w:r>
        <w:fldChar w:fldCharType="separate"/>
      </w:r>
      <w:r>
        <w:rPr>
          <w:rStyle w:val="10"/>
          <w:rFonts w:hint="eastAsia" w:ascii="仿宋_GB2312" w:hAnsi="仿宋" w:eastAsia="仿宋_GB2312"/>
          <w:sz w:val="32"/>
          <w:szCs w:val="30"/>
        </w:rPr>
        <w:t>四、联系方式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_Toc510190957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"_Toc510190958" </w:instrText>
      </w:r>
      <w:r>
        <w:fldChar w:fldCharType="separate"/>
      </w:r>
      <w:r>
        <w:rPr>
          <w:rStyle w:val="10"/>
          <w:rFonts w:hint="eastAsia" w:ascii="仿宋_GB2312" w:hAnsi="仿宋" w:eastAsia="仿宋_GB2312"/>
          <w:sz w:val="32"/>
          <w:szCs w:val="30"/>
        </w:rPr>
        <w:t>第二章 采购内容与技术要求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_Toc510190958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"_Toc510190959" </w:instrText>
      </w:r>
      <w:r>
        <w:fldChar w:fldCharType="separate"/>
      </w:r>
      <w:r>
        <w:rPr>
          <w:rStyle w:val="10"/>
          <w:rFonts w:hint="eastAsia" w:ascii="仿宋_GB2312" w:hAnsi="仿宋" w:eastAsia="仿宋_GB2312"/>
          <w:sz w:val="32"/>
          <w:szCs w:val="30"/>
        </w:rPr>
        <w:t>一、项目说明</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_Toc510190959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"_Toc510190960" </w:instrText>
      </w:r>
      <w:r>
        <w:fldChar w:fldCharType="separate"/>
      </w:r>
      <w:r>
        <w:rPr>
          <w:rStyle w:val="10"/>
          <w:rFonts w:hint="eastAsia" w:ascii="仿宋_GB2312" w:hAnsi="仿宋" w:eastAsia="仿宋_GB2312"/>
          <w:sz w:val="32"/>
          <w:szCs w:val="30"/>
        </w:rPr>
        <w:t>二、维修工程参数及工程量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_Toc510190960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"_Toc510190961" </w:instrText>
      </w:r>
      <w:r>
        <w:fldChar w:fldCharType="separate"/>
      </w:r>
      <w:r>
        <w:rPr>
          <w:rStyle w:val="10"/>
          <w:rFonts w:hint="eastAsia" w:ascii="仿宋_GB2312" w:hAnsi="仿宋" w:eastAsia="仿宋_GB2312"/>
          <w:sz w:val="32"/>
          <w:szCs w:val="30"/>
        </w:rPr>
        <w:t>第三章 投标人须知</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_Toc510190961 \h </w:instrText>
      </w:r>
      <w:r>
        <w:rPr>
          <w:rFonts w:hint="eastAsia" w:ascii="仿宋_GB2312" w:eastAsia="仿宋_GB2312"/>
          <w:sz w:val="32"/>
          <w:szCs w:val="30"/>
        </w:rPr>
        <w:fldChar w:fldCharType="separate"/>
      </w:r>
      <w:r>
        <w:rPr>
          <w:rFonts w:ascii="仿宋_GB2312" w:eastAsia="仿宋_GB2312"/>
          <w:sz w:val="32"/>
          <w:szCs w:val="30"/>
        </w:rPr>
        <w:t>6</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"_Toc510190962" </w:instrText>
      </w:r>
      <w:r>
        <w:fldChar w:fldCharType="separate"/>
      </w:r>
      <w:r>
        <w:rPr>
          <w:rStyle w:val="10"/>
          <w:rFonts w:hint="eastAsia" w:ascii="仿宋_GB2312" w:hAnsi="仿宋" w:eastAsia="仿宋_GB2312"/>
          <w:sz w:val="32"/>
          <w:szCs w:val="30"/>
        </w:rPr>
        <w:t>一、供应商资格要求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_Toc510190962 \h </w:instrText>
      </w:r>
      <w:r>
        <w:rPr>
          <w:rFonts w:hint="eastAsia" w:ascii="仿宋_GB2312" w:eastAsia="仿宋_GB2312"/>
          <w:sz w:val="32"/>
          <w:szCs w:val="30"/>
        </w:rPr>
        <w:fldChar w:fldCharType="separate"/>
      </w:r>
      <w:r>
        <w:rPr>
          <w:rFonts w:ascii="仿宋_GB2312" w:eastAsia="仿宋_GB2312"/>
          <w:sz w:val="32"/>
          <w:szCs w:val="30"/>
        </w:rPr>
        <w:t>6</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"_Toc510190963" </w:instrText>
      </w:r>
      <w:r>
        <w:fldChar w:fldCharType="separate"/>
      </w:r>
      <w:r>
        <w:rPr>
          <w:rStyle w:val="10"/>
          <w:rFonts w:hint="eastAsia" w:ascii="仿宋_GB2312" w:hAnsi="仿宋" w:eastAsia="仿宋_GB2312"/>
          <w:sz w:val="32"/>
          <w:szCs w:val="30"/>
        </w:rPr>
        <w:t>二、响应文件的构成</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_Toc510190963 \h </w:instrText>
      </w:r>
      <w:r>
        <w:rPr>
          <w:rFonts w:hint="eastAsia" w:ascii="仿宋_GB2312" w:eastAsia="仿宋_GB2312"/>
          <w:sz w:val="32"/>
          <w:szCs w:val="30"/>
        </w:rPr>
        <w:fldChar w:fldCharType="separate"/>
      </w:r>
      <w:r>
        <w:rPr>
          <w:rFonts w:ascii="仿宋_GB2312" w:eastAsia="仿宋_GB2312"/>
          <w:sz w:val="32"/>
          <w:szCs w:val="30"/>
        </w:rPr>
        <w:t>6</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"_Toc510190964" </w:instrText>
      </w:r>
      <w:r>
        <w:fldChar w:fldCharType="separate"/>
      </w:r>
      <w:r>
        <w:rPr>
          <w:rStyle w:val="10"/>
          <w:rFonts w:hint="eastAsia" w:ascii="仿宋_GB2312" w:hAnsi="仿宋" w:eastAsia="仿宋_GB2312"/>
          <w:sz w:val="32"/>
          <w:szCs w:val="30"/>
        </w:rPr>
        <w:t>三、评标与中标</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_Toc510190964 \h </w:instrText>
      </w:r>
      <w:r>
        <w:rPr>
          <w:rFonts w:hint="eastAsia" w:ascii="仿宋_GB2312" w:eastAsia="仿宋_GB2312"/>
          <w:sz w:val="32"/>
          <w:szCs w:val="30"/>
        </w:rPr>
        <w:fldChar w:fldCharType="separate"/>
      </w:r>
      <w:r>
        <w:rPr>
          <w:rFonts w:ascii="仿宋_GB2312" w:eastAsia="仿宋_GB2312"/>
          <w:sz w:val="32"/>
          <w:szCs w:val="30"/>
        </w:rPr>
        <w:t>6</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"_Toc510190965" </w:instrText>
      </w:r>
      <w:r>
        <w:fldChar w:fldCharType="separate"/>
      </w:r>
      <w:r>
        <w:rPr>
          <w:rStyle w:val="10"/>
          <w:rFonts w:hint="eastAsia" w:ascii="仿宋_GB2312" w:hAnsi="仿宋" w:eastAsia="仿宋_GB2312" w:cs="Times New Roman"/>
          <w:bCs/>
          <w:kern w:val="44"/>
          <w:sz w:val="32"/>
          <w:szCs w:val="30"/>
        </w:rPr>
        <w:t>第四章、响应文件格式与要求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_Toc510190965 \h </w:instrText>
      </w:r>
      <w:r>
        <w:rPr>
          <w:rFonts w:hint="eastAsia" w:ascii="仿宋_GB2312" w:eastAsia="仿宋_GB2312"/>
          <w:sz w:val="32"/>
          <w:szCs w:val="30"/>
        </w:rPr>
        <w:fldChar w:fldCharType="separate"/>
      </w:r>
      <w:r>
        <w:rPr>
          <w:rFonts w:ascii="仿宋_GB2312" w:eastAsia="仿宋_GB2312"/>
          <w:sz w:val="32"/>
          <w:szCs w:val="30"/>
        </w:rPr>
        <w:t>9</w:t>
      </w:r>
      <w:r>
        <w:rPr>
          <w:rFonts w:hint="eastAsia" w:ascii="仿宋_GB2312" w:eastAsia="仿宋_GB2312"/>
          <w:sz w:val="32"/>
          <w:szCs w:val="30"/>
        </w:rPr>
        <w:fldChar w:fldCharType="end"/>
      </w:r>
      <w:r>
        <w:rPr>
          <w:rFonts w:hint="eastAsia" w:ascii="仿宋_GB2312" w:eastAsia="仿宋_GB2312"/>
          <w:sz w:val="32"/>
          <w:szCs w:val="30"/>
        </w:rPr>
        <w:fldChar w:fldCharType="end"/>
      </w:r>
    </w:p>
    <w:p>
      <w:pPr>
        <w:widowControl/>
        <w:spacing w:line="360" w:lineRule="auto"/>
        <w:rPr>
          <w:rFonts w:ascii="仿宋" w:hAnsi="仿宋" w:eastAsia="仿宋"/>
          <w:sz w:val="32"/>
          <w:szCs w:val="32"/>
        </w:rPr>
      </w:pPr>
      <w:r>
        <w:rPr>
          <w:rFonts w:hint="eastAsia" w:ascii="仿宋_GB2312" w:hAnsi="仿宋" w:eastAsia="仿宋_GB2312"/>
          <w:sz w:val="32"/>
          <w:szCs w:val="30"/>
        </w:rPr>
        <w:fldChar w:fldCharType="end"/>
      </w: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pStyle w:val="2"/>
        <w:spacing w:line="360" w:lineRule="auto"/>
        <w:jc w:val="both"/>
        <w:rPr>
          <w:rFonts w:ascii="仿宋" w:hAnsi="仿宋" w:eastAsia="仿宋"/>
        </w:rPr>
      </w:pPr>
      <w:bookmarkStart w:id="0" w:name="_Toc510190953"/>
      <w:r>
        <w:rPr>
          <w:rFonts w:hint="eastAsia" w:ascii="仿宋" w:hAnsi="仿宋" w:eastAsia="仿宋"/>
        </w:rPr>
        <w:t>第一章  竞争性磋商公告</w:t>
      </w:r>
      <w:bookmarkEnd w:id="0"/>
    </w:p>
    <w:p>
      <w:pPr>
        <w:ind w:firstLine="560" w:firstLineChars="200"/>
        <w:rPr>
          <w:rFonts w:ascii="仿宋" w:hAnsi="仿宋" w:eastAsia="仿宋"/>
          <w:sz w:val="28"/>
          <w:szCs w:val="28"/>
        </w:rPr>
      </w:pPr>
      <w:r>
        <w:rPr>
          <w:rFonts w:hint="eastAsia" w:ascii="仿宋" w:hAnsi="仿宋" w:eastAsia="仿宋"/>
          <w:sz w:val="28"/>
          <w:szCs w:val="28"/>
        </w:rPr>
        <w:t>鄂尔多斯市空港实业有限公司拟采用竞争性磋商的方式对航站楼一楼商铺增加隔断及卷帘门项目进行采购，现邀请符合条件的供应商前来参与此次采购活动。</w:t>
      </w:r>
    </w:p>
    <w:p>
      <w:pPr>
        <w:pStyle w:val="3"/>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ascii="仿宋" w:hAnsi="仿宋" w:eastAsia="仿宋"/>
          <w:sz w:val="28"/>
          <w:szCs w:val="28"/>
        </w:rPr>
      </w:pPr>
      <w:bookmarkStart w:id="1" w:name="_Toc510190954"/>
      <w:r>
        <w:rPr>
          <w:rFonts w:hint="eastAsia" w:ascii="仿宋" w:hAnsi="仿宋" w:eastAsia="仿宋"/>
          <w:sz w:val="28"/>
          <w:szCs w:val="28"/>
        </w:rPr>
        <w:t>一、项目概况</w:t>
      </w:r>
      <w:bookmarkEnd w:id="1"/>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（一）项目名称：</w:t>
      </w:r>
      <w:r>
        <w:rPr>
          <w:rFonts w:hint="eastAsia" w:ascii="仿宋" w:hAnsi="仿宋" w:eastAsia="仿宋"/>
          <w:sz w:val="28"/>
          <w:szCs w:val="28"/>
        </w:rPr>
        <w:t>航站楼一楼商铺增加隔断及卷帘门项目</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（二）项目编号：WX/SYGS-18-001-W</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（四）资金来源：企业自筹</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1. 技术规格、参数及要求：详见招标文件</w:t>
      </w:r>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2. 预算金额：5.7万</w:t>
      </w:r>
    </w:p>
    <w:p>
      <w:pPr>
        <w:pStyle w:val="3"/>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ascii="仿宋" w:hAnsi="仿宋" w:eastAsia="仿宋"/>
          <w:sz w:val="28"/>
          <w:szCs w:val="28"/>
        </w:rPr>
      </w:pPr>
      <w:bookmarkStart w:id="2" w:name="_Toc510190955"/>
      <w:r>
        <w:rPr>
          <w:rFonts w:hint="eastAsia" w:ascii="仿宋" w:hAnsi="仿宋" w:eastAsia="仿宋"/>
          <w:sz w:val="28"/>
          <w:szCs w:val="28"/>
        </w:rPr>
        <w:t>二、供应商的资格要求</w:t>
      </w:r>
      <w:bookmarkEnd w:id="2"/>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pageBreakBefore w:val="0"/>
        <w:widowControl w:val="0"/>
        <w:kinsoku/>
        <w:wordWrap/>
        <w:overflowPunct/>
        <w:topLinePunct w:val="0"/>
        <w:autoSpaceDE/>
        <w:autoSpaceDN/>
        <w:bidi w:val="0"/>
        <w:adjustRightInd/>
        <w:snapToGrid/>
        <w:spacing w:line="560" w:lineRule="exact"/>
        <w:ind w:left="0" w:leftChars="0" w:right="57"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（二）供应商须在投标文件中提供企业工商注册所在地或项目所在地检察机关出具的《检察机关行贿犯罪档案查询结果告知函》（在有效期范围内）</w:t>
      </w:r>
    </w:p>
    <w:p>
      <w:pPr>
        <w:pageBreakBefore w:val="0"/>
        <w:widowControl w:val="0"/>
        <w:kinsoku/>
        <w:wordWrap/>
        <w:overflowPunct/>
        <w:topLinePunct w:val="0"/>
        <w:autoSpaceDE/>
        <w:autoSpaceDN/>
        <w:bidi w:val="0"/>
        <w:adjustRightInd/>
        <w:snapToGrid/>
        <w:spacing w:line="560" w:lineRule="exact"/>
        <w:ind w:left="0" w:leftChars="0" w:right="57"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（三）投标商应具有建筑维修类相关营业范围</w:t>
      </w:r>
    </w:p>
    <w:p>
      <w:pPr>
        <w:pStyle w:val="3"/>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ascii="仿宋" w:hAnsi="仿宋" w:eastAsia="仿宋"/>
          <w:sz w:val="28"/>
          <w:szCs w:val="28"/>
        </w:rPr>
      </w:pPr>
      <w:bookmarkStart w:id="3" w:name="_Toc510190956"/>
      <w:r>
        <w:rPr>
          <w:rFonts w:hint="eastAsia" w:ascii="仿宋" w:hAnsi="仿宋" w:eastAsia="仿宋"/>
          <w:sz w:val="28"/>
          <w:szCs w:val="28"/>
        </w:rPr>
        <w:t>三、递交响应文件截止（评标）时间、地点</w:t>
      </w:r>
      <w:bookmarkEnd w:id="3"/>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color w:val="FF0000"/>
          <w:sz w:val="28"/>
          <w:szCs w:val="28"/>
        </w:rPr>
      </w:pPr>
      <w:r>
        <w:rPr>
          <w:rFonts w:hint="eastAsia" w:ascii="仿宋" w:hAnsi="仿宋" w:eastAsia="仿宋"/>
          <w:sz w:val="28"/>
          <w:szCs w:val="28"/>
        </w:rPr>
        <w:t>递交响应文件截止（评标）时间：201</w:t>
      </w:r>
      <w:r>
        <w:rPr>
          <w:rFonts w:hint="eastAsia" w:ascii="仿宋" w:hAnsi="仿宋" w:eastAsia="仿宋"/>
          <w:color w:val="000000" w:themeColor="text1"/>
          <w:sz w:val="28"/>
          <w:szCs w:val="28"/>
        </w:rPr>
        <w:t>8年7月</w:t>
      </w:r>
      <w:r>
        <w:rPr>
          <w:rFonts w:hint="eastAsia" w:ascii="仿宋" w:hAnsi="仿宋" w:eastAsia="仿宋"/>
          <w:color w:val="000000" w:themeColor="text1"/>
          <w:sz w:val="28"/>
          <w:szCs w:val="28"/>
          <w:lang w:val="en-US" w:eastAsia="zh-CN"/>
        </w:rPr>
        <w:t>17</w:t>
      </w:r>
      <w:r>
        <w:rPr>
          <w:rFonts w:hint="eastAsia" w:ascii="仿宋" w:hAnsi="仿宋" w:eastAsia="仿宋"/>
          <w:color w:val="000000" w:themeColor="text1"/>
          <w:sz w:val="28"/>
          <w:szCs w:val="28"/>
        </w:rPr>
        <w:t>日</w:t>
      </w:r>
      <w:r>
        <w:rPr>
          <w:rFonts w:hint="eastAsia" w:ascii="仿宋" w:hAnsi="仿宋" w:eastAsia="仿宋"/>
          <w:sz w:val="28"/>
          <w:szCs w:val="28"/>
        </w:rPr>
        <w:t>9:30</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响应文件时间开标及评标地点：2017年7月1</w:t>
      </w:r>
      <w:r>
        <w:rPr>
          <w:rFonts w:hint="eastAsia" w:ascii="仿宋" w:hAnsi="仿宋" w:eastAsia="仿宋"/>
          <w:sz w:val="28"/>
          <w:szCs w:val="28"/>
          <w:lang w:val="en-US" w:eastAsia="zh-CN"/>
        </w:rPr>
        <w:t>7</w:t>
      </w:r>
      <w:r>
        <w:rPr>
          <w:rFonts w:hint="eastAsia" w:ascii="仿宋" w:hAnsi="仿宋" w:eastAsia="仿宋"/>
          <w:sz w:val="28"/>
          <w:szCs w:val="28"/>
        </w:rPr>
        <w:t>日9:30，鄂尔多斯飞机场综合办公楼208开标室</w:t>
      </w:r>
    </w:p>
    <w:p>
      <w:pPr>
        <w:pStyle w:val="3"/>
        <w:pageBreakBefore w:val="0"/>
        <w:widowControl w:val="0"/>
        <w:kinsoku/>
        <w:wordWrap/>
        <w:overflowPunct/>
        <w:topLinePunct w:val="0"/>
        <w:autoSpaceDE/>
        <w:autoSpaceDN/>
        <w:bidi w:val="0"/>
        <w:adjustRightInd/>
        <w:snapToGrid/>
        <w:spacing w:line="560" w:lineRule="exact"/>
        <w:ind w:left="0" w:leftChars="0" w:firstLine="551" w:firstLineChars="196"/>
        <w:textAlignment w:val="auto"/>
        <w:rPr>
          <w:rFonts w:ascii="仿宋" w:hAnsi="仿宋" w:eastAsia="仿宋"/>
          <w:sz w:val="28"/>
          <w:szCs w:val="28"/>
        </w:rPr>
      </w:pPr>
      <w:bookmarkStart w:id="4" w:name="_Toc510190957"/>
      <w:r>
        <w:rPr>
          <w:rFonts w:hint="eastAsia" w:ascii="仿宋" w:hAnsi="仿宋" w:eastAsia="仿宋"/>
          <w:sz w:val="28"/>
          <w:szCs w:val="28"/>
        </w:rPr>
        <w:t>四、联系方式</w:t>
      </w:r>
      <w:bookmarkEnd w:id="4"/>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联 系 人：何</w:t>
      </w:r>
      <w:r>
        <w:rPr>
          <w:rFonts w:hint="eastAsia" w:ascii="仿宋" w:hAnsi="仿宋" w:eastAsia="仿宋"/>
          <w:kern w:val="2"/>
          <w:sz w:val="28"/>
          <w:szCs w:val="28"/>
          <w:lang w:eastAsia="zh-CN"/>
        </w:rPr>
        <w:t>先生</w:t>
      </w:r>
      <w:bookmarkStart w:id="23" w:name="_GoBack"/>
      <w:bookmarkEnd w:id="23"/>
    </w:p>
    <w:p>
      <w:pPr>
        <w:pStyle w:val="4"/>
        <w:pageBreakBefore w:val="0"/>
        <w:widowControl w:val="0"/>
        <w:kinsoku/>
        <w:wordWrap/>
        <w:overflowPunct/>
        <w:topLinePunct w:val="0"/>
        <w:autoSpaceDE/>
        <w:autoSpaceDN/>
        <w:bidi w:val="0"/>
        <w:adjustRightInd/>
        <w:snapToGrid/>
        <w:spacing w:line="560" w:lineRule="exact"/>
        <w:ind w:left="0" w:leftChars="0" w:firstLine="560" w:firstLineChars="200"/>
        <w:textAlignment w:val="auto"/>
      </w:pPr>
      <w:r>
        <w:rPr>
          <w:rFonts w:hint="eastAsia" w:ascii="仿宋" w:hAnsi="仿宋" w:eastAsia="仿宋"/>
          <w:kern w:val="2"/>
          <w:sz w:val="28"/>
          <w:szCs w:val="28"/>
        </w:rPr>
        <w:t xml:space="preserve">联系电话：0477-3855818 </w:t>
      </w:r>
    </w:p>
    <w:p>
      <w:pPr>
        <w:pStyle w:val="2"/>
        <w:spacing w:line="360" w:lineRule="auto"/>
        <w:rPr>
          <w:rFonts w:ascii="仿宋" w:hAnsi="仿宋" w:eastAsia="仿宋"/>
        </w:rPr>
      </w:pPr>
      <w:bookmarkStart w:id="5" w:name="_Toc510190958"/>
      <w:r>
        <w:rPr>
          <w:rFonts w:hint="eastAsia" w:ascii="仿宋" w:hAnsi="仿宋" w:eastAsia="仿宋"/>
        </w:rPr>
        <w:t>第二章 采购内容与技术要求</w:t>
      </w:r>
      <w:bookmarkEnd w:id="5"/>
    </w:p>
    <w:p>
      <w:pPr>
        <w:pStyle w:val="3"/>
        <w:spacing w:line="360" w:lineRule="auto"/>
        <w:ind w:firstLine="562" w:firstLineChars="200"/>
        <w:rPr>
          <w:rFonts w:ascii="仿宋" w:hAnsi="仿宋" w:eastAsia="仿宋"/>
          <w:sz w:val="28"/>
        </w:rPr>
      </w:pPr>
      <w:bookmarkStart w:id="6" w:name="_Toc406421928"/>
      <w:bookmarkStart w:id="7" w:name="_Toc510190959"/>
      <w:r>
        <w:rPr>
          <w:rFonts w:hint="eastAsia" w:ascii="仿宋" w:hAnsi="仿宋" w:eastAsia="仿宋"/>
          <w:sz w:val="28"/>
        </w:rPr>
        <w:t>一、项目说明</w:t>
      </w:r>
      <w:bookmarkEnd w:id="6"/>
      <w:bookmarkEnd w:id="7"/>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r>
        <w:rPr>
          <w:rFonts w:ascii="仿宋" w:hAnsi="仿宋" w:eastAsia="仿宋"/>
          <w:sz w:val="28"/>
          <w:szCs w:val="28"/>
        </w:rPr>
        <w:t xml:space="preserve">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对航站楼一楼3个商铺加装隔断并加装卷帘门，对内部进行灯管布线及装灯等。</w:t>
      </w:r>
    </w:p>
    <w:p>
      <w:pPr>
        <w:spacing w:line="360" w:lineRule="auto"/>
        <w:ind w:firstLine="560" w:firstLineChars="200"/>
        <w:rPr>
          <w:rFonts w:ascii="仿宋" w:hAnsi="仿宋" w:eastAsia="仿宋"/>
          <w:color w:val="000000"/>
          <w:sz w:val="28"/>
          <w:szCs w:val="28"/>
        </w:rPr>
      </w:pPr>
      <w:r>
        <w:rPr>
          <w:rFonts w:hint="eastAsia" w:ascii="仿宋" w:hAnsi="仿宋" w:eastAsia="仿宋"/>
          <w:sz w:val="28"/>
          <w:szCs w:val="28"/>
        </w:rPr>
        <w:t>（二）付款方式：</w:t>
      </w:r>
      <w:r>
        <w:rPr>
          <w:rFonts w:hint="eastAsia" w:ascii="仿宋" w:hAnsi="仿宋" w:eastAsia="仿宋"/>
          <w:color w:val="000000"/>
          <w:sz w:val="28"/>
          <w:szCs w:val="28"/>
        </w:rPr>
        <w:t>中标人</w:t>
      </w:r>
      <w:r>
        <w:rPr>
          <w:rFonts w:hint="eastAsia" w:ascii="仿宋" w:hAnsi="仿宋" w:eastAsia="仿宋"/>
          <w:sz w:val="28"/>
          <w:szCs w:val="28"/>
        </w:rPr>
        <w:t>签订合同后,</w:t>
      </w:r>
      <w:r>
        <w:rPr>
          <w:rFonts w:hint="eastAsia" w:ascii="仿宋" w:hAnsi="仿宋" w:eastAsia="仿宋"/>
          <w:color w:val="000000"/>
          <w:sz w:val="28"/>
          <w:szCs w:val="28"/>
        </w:rPr>
        <w:t>提供有效账号、相关资质文件复印件及增值税专用发票后</w:t>
      </w:r>
      <w:r>
        <w:rPr>
          <w:rFonts w:hint="eastAsia" w:ascii="仿宋" w:hAnsi="仿宋" w:eastAsia="仿宋"/>
          <w:sz w:val="28"/>
          <w:szCs w:val="28"/>
        </w:rPr>
        <w:t>支付50%合同款项,</w:t>
      </w:r>
      <w:r>
        <w:rPr>
          <w:rFonts w:hint="eastAsia" w:ascii="仿宋" w:hAnsi="仿宋" w:eastAsia="仿宋"/>
          <w:color w:val="000000"/>
          <w:sz w:val="28"/>
          <w:szCs w:val="28"/>
        </w:rPr>
        <w:t>项目验收合格后，支付45%合同款项，剩余款项截止到质保期支付。</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（三）质保期: 1年。</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（四）施工周期：40天</w:t>
      </w:r>
    </w:p>
    <w:p>
      <w:pPr>
        <w:pStyle w:val="3"/>
        <w:spacing w:line="360" w:lineRule="auto"/>
        <w:ind w:firstLine="562" w:firstLineChars="200"/>
        <w:rPr>
          <w:rFonts w:ascii="仿宋" w:hAnsi="仿宋" w:eastAsia="仿宋"/>
          <w:sz w:val="28"/>
        </w:rPr>
      </w:pPr>
      <w:bookmarkStart w:id="8" w:name="_Toc406421929"/>
      <w:bookmarkStart w:id="9" w:name="_Toc510190960"/>
      <w:r>
        <w:rPr>
          <w:rFonts w:hint="eastAsia" w:ascii="仿宋" w:hAnsi="仿宋" w:eastAsia="仿宋"/>
          <w:sz w:val="28"/>
        </w:rPr>
        <w:t>二、</w:t>
      </w:r>
      <w:bookmarkEnd w:id="8"/>
      <w:r>
        <w:rPr>
          <w:rFonts w:hint="eastAsia" w:ascii="仿宋" w:hAnsi="仿宋" w:eastAsia="仿宋"/>
          <w:sz w:val="28"/>
        </w:rPr>
        <w:t>维修工程参数及工程量</w:t>
      </w:r>
      <w:bookmarkEnd w:id="9"/>
    </w:p>
    <w:tbl>
      <w:tblPr>
        <w:tblStyle w:val="11"/>
        <w:tblW w:w="10783" w:type="dxa"/>
        <w:tblInd w:w="-318" w:type="dxa"/>
        <w:tblLayout w:type="fixed"/>
        <w:tblCellMar>
          <w:top w:w="0" w:type="dxa"/>
          <w:left w:w="108" w:type="dxa"/>
          <w:bottom w:w="0" w:type="dxa"/>
          <w:right w:w="108" w:type="dxa"/>
        </w:tblCellMar>
      </w:tblPr>
      <w:tblGrid>
        <w:gridCol w:w="710"/>
        <w:gridCol w:w="1417"/>
        <w:gridCol w:w="6756"/>
        <w:gridCol w:w="1080"/>
        <w:gridCol w:w="820"/>
      </w:tblGrid>
      <w:tr>
        <w:tblPrEx>
          <w:tblLayout w:type="fixed"/>
          <w:tblCellMar>
            <w:top w:w="0" w:type="dxa"/>
            <w:left w:w="108" w:type="dxa"/>
            <w:bottom w:w="0" w:type="dxa"/>
            <w:right w:w="108" w:type="dxa"/>
          </w:tblCellMar>
        </w:tblPrEx>
        <w:trPr>
          <w:trHeight w:val="330" w:hRule="atLeast"/>
        </w:trPr>
        <w:tc>
          <w:tcPr>
            <w:tcW w:w="10783" w:type="dxa"/>
            <w:gridSpan w:val="5"/>
            <w:tcBorders>
              <w:top w:val="nil"/>
              <w:left w:val="nil"/>
              <w:bottom w:val="single" w:color="auto"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30"/>
                <w:szCs w:val="30"/>
              </w:rPr>
              <w:t>分部分项工程量清单与计价表</w:t>
            </w:r>
          </w:p>
        </w:tc>
      </w:tr>
      <w:tr>
        <w:tblPrEx>
          <w:tblLayout w:type="fixed"/>
          <w:tblCellMar>
            <w:top w:w="0" w:type="dxa"/>
            <w:left w:w="108" w:type="dxa"/>
            <w:bottom w:w="0" w:type="dxa"/>
            <w:right w:w="108" w:type="dxa"/>
          </w:tblCellMar>
        </w:tblPrEx>
        <w:trPr>
          <w:trHeight w:val="550" w:hRule="atLeast"/>
        </w:trPr>
        <w:tc>
          <w:tcPr>
            <w:tcW w:w="71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序</w:t>
            </w:r>
          </w:p>
          <w:p>
            <w:pPr>
              <w:widowControl/>
              <w:jc w:val="center"/>
              <w:rPr>
                <w:rFonts w:ascii="宋体" w:hAnsi="宋体" w:cs="宋体"/>
                <w:kern w:val="0"/>
                <w:szCs w:val="18"/>
              </w:rPr>
            </w:pPr>
            <w:r>
              <w:rPr>
                <w:rFonts w:hint="eastAsia" w:ascii="宋体" w:hAnsi="宋体" w:cs="宋体"/>
                <w:kern w:val="0"/>
                <w:szCs w:val="18"/>
              </w:rPr>
              <w:t>号</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项  目  名  称</w:t>
            </w:r>
          </w:p>
        </w:tc>
        <w:tc>
          <w:tcPr>
            <w:tcW w:w="675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项目特征描述</w:t>
            </w:r>
          </w:p>
          <w:p>
            <w:pPr>
              <w:jc w:val="left"/>
              <w:rPr>
                <w:rFonts w:ascii="宋体" w:hAnsi="宋体" w:cs="宋体"/>
                <w:kern w:val="0"/>
                <w:szCs w:val="18"/>
              </w:rPr>
            </w:pPr>
            <w:r>
              <w:rPr>
                <w:rFonts w:hint="eastAsia" w:ascii="宋体" w:hAnsi="宋体" w:cs="宋体"/>
                <w:kern w:val="0"/>
                <w:szCs w:val="18"/>
              </w:rPr>
              <w:t>　</w:t>
            </w:r>
          </w:p>
        </w:tc>
        <w:tc>
          <w:tcPr>
            <w:tcW w:w="1080" w:type="dxa"/>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计量</w:t>
            </w:r>
          </w:p>
          <w:p>
            <w:pPr>
              <w:widowControl/>
              <w:jc w:val="center"/>
              <w:rPr>
                <w:rFonts w:ascii="宋体" w:hAnsi="宋体" w:cs="宋体"/>
                <w:kern w:val="0"/>
                <w:szCs w:val="18"/>
              </w:rPr>
            </w:pPr>
            <w:r>
              <w:rPr>
                <w:rFonts w:hint="eastAsia" w:ascii="宋体" w:hAnsi="宋体" w:cs="宋体"/>
                <w:kern w:val="0"/>
                <w:szCs w:val="18"/>
              </w:rPr>
              <w:t>单位</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工程量</w:t>
            </w:r>
          </w:p>
        </w:tc>
      </w:tr>
      <w:tr>
        <w:tblPrEx>
          <w:tblLayout w:type="fixed"/>
          <w:tblCellMar>
            <w:top w:w="0" w:type="dxa"/>
            <w:left w:w="108" w:type="dxa"/>
            <w:bottom w:w="0" w:type="dxa"/>
            <w:right w:w="108" w:type="dxa"/>
          </w:tblCellMar>
        </w:tblPrEx>
        <w:trPr>
          <w:trHeight w:val="240"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分部分项工程</w:t>
            </w:r>
          </w:p>
        </w:tc>
        <w:tc>
          <w:tcPr>
            <w:tcW w:w="67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18"/>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18"/>
              </w:rPr>
            </w:pPr>
          </w:p>
        </w:tc>
      </w:tr>
      <w:tr>
        <w:tblPrEx>
          <w:tblLayout w:type="fixed"/>
          <w:tblCellMar>
            <w:top w:w="0" w:type="dxa"/>
            <w:left w:w="108" w:type="dxa"/>
            <w:bottom w:w="0" w:type="dxa"/>
            <w:right w:w="108" w:type="dxa"/>
          </w:tblCellMar>
        </w:tblPrEx>
        <w:trPr>
          <w:trHeight w:val="28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隔断制作</w:t>
            </w:r>
          </w:p>
        </w:tc>
        <w:tc>
          <w:tcPr>
            <w:tcW w:w="6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一、数量及尺寸</w:t>
            </w:r>
            <w:r>
              <w:rPr>
                <w:rFonts w:hint="eastAsia" w:ascii="宋体" w:hAnsi="宋体" w:cs="宋体"/>
                <w:kern w:val="0"/>
                <w:szCs w:val="18"/>
              </w:rPr>
              <w:br w:type="textWrapping"/>
            </w:r>
            <w:r>
              <w:rPr>
                <w:rFonts w:hint="eastAsia" w:ascii="宋体" w:hAnsi="宋体" w:cs="宋体"/>
                <w:kern w:val="0"/>
                <w:szCs w:val="18"/>
              </w:rPr>
              <w:t>长6.4m*高3m的3个，长7.4m*高3m的1个，共计4个隔断，</w:t>
            </w:r>
            <w:r>
              <w:rPr>
                <w:rFonts w:hint="eastAsia" w:ascii="宋体" w:hAnsi="宋体" w:cs="宋体"/>
                <w:kern w:val="0"/>
                <w:szCs w:val="18"/>
              </w:rPr>
              <w:br w:type="textWrapping"/>
            </w:r>
            <w:r>
              <w:rPr>
                <w:rFonts w:hint="eastAsia" w:ascii="宋体" w:hAnsi="宋体" w:cs="宋体"/>
                <w:kern w:val="0"/>
                <w:szCs w:val="18"/>
              </w:rPr>
              <w:t>二、做法</w:t>
            </w:r>
            <w:r>
              <w:rPr>
                <w:rFonts w:hint="eastAsia" w:ascii="宋体" w:hAnsi="宋体" w:cs="宋体"/>
                <w:kern w:val="0"/>
                <w:szCs w:val="18"/>
              </w:rPr>
              <w:br w:type="textWrapping"/>
            </w:r>
            <w:r>
              <w:rPr>
                <w:rFonts w:hint="eastAsia" w:ascii="宋体" w:hAnsi="宋体" w:cs="宋体"/>
                <w:kern w:val="0"/>
                <w:szCs w:val="18"/>
              </w:rPr>
              <w:t>1.国标100型壁厚2.0MM钢质竖龙骨，龙骨间距40mm；</w:t>
            </w:r>
            <w:r>
              <w:rPr>
                <w:rFonts w:hint="eastAsia" w:ascii="宋体" w:hAnsi="宋体" w:cs="宋体"/>
                <w:kern w:val="0"/>
                <w:szCs w:val="18"/>
              </w:rPr>
              <w:br w:type="textWrapping"/>
            </w:r>
            <w:r>
              <w:rPr>
                <w:rFonts w:hint="eastAsia" w:ascii="宋体" w:hAnsi="宋体" w:cs="宋体"/>
                <w:kern w:val="0"/>
                <w:szCs w:val="18"/>
              </w:rPr>
              <w:t>2.地面龙骨使用结构胶固定；</w:t>
            </w:r>
            <w:r>
              <w:rPr>
                <w:rFonts w:hint="eastAsia" w:ascii="宋体" w:hAnsi="宋体" w:cs="宋体"/>
                <w:kern w:val="0"/>
                <w:szCs w:val="18"/>
              </w:rPr>
              <w:br w:type="textWrapping"/>
            </w:r>
            <w:r>
              <w:rPr>
                <w:rFonts w:hint="eastAsia" w:ascii="宋体" w:hAnsi="宋体" w:cs="宋体"/>
                <w:kern w:val="0"/>
                <w:szCs w:val="18"/>
              </w:rPr>
              <w:t>3.顶面龙骨使用30mm汽钉固定；</w:t>
            </w:r>
            <w:r>
              <w:rPr>
                <w:rFonts w:hint="eastAsia" w:ascii="宋体" w:hAnsi="宋体" w:cs="宋体"/>
                <w:kern w:val="0"/>
                <w:szCs w:val="18"/>
              </w:rPr>
              <w:br w:type="textWrapping"/>
            </w:r>
            <w:r>
              <w:rPr>
                <w:rFonts w:hint="eastAsia" w:ascii="宋体" w:hAnsi="宋体" w:cs="宋体"/>
                <w:kern w:val="0"/>
                <w:szCs w:val="18"/>
              </w:rPr>
              <w:t>4.龙骨框架两面使用25mm螺丝固定壁厚15MM泰山牌纸面石膏板（1.2m*3.0m*15mm）；</w:t>
            </w:r>
            <w:r>
              <w:rPr>
                <w:rFonts w:hint="eastAsia" w:ascii="宋体" w:hAnsi="宋体" w:cs="宋体"/>
                <w:kern w:val="0"/>
                <w:szCs w:val="18"/>
              </w:rPr>
              <w:br w:type="textWrapping"/>
            </w:r>
            <w:r>
              <w:rPr>
                <w:rFonts w:hint="eastAsia" w:ascii="宋体" w:hAnsi="宋体" w:cs="宋体"/>
                <w:kern w:val="0"/>
                <w:szCs w:val="18"/>
              </w:rPr>
              <w:t>5.石膏板接缝使用填缝石膏粉填充，使用白乳胶粘贴纸绷带</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79.8</w:t>
            </w:r>
          </w:p>
        </w:tc>
      </w:tr>
      <w:tr>
        <w:tblPrEx>
          <w:tblLayout w:type="fixed"/>
          <w:tblCellMar>
            <w:top w:w="0" w:type="dxa"/>
            <w:left w:w="108" w:type="dxa"/>
            <w:bottom w:w="0" w:type="dxa"/>
            <w:right w:w="108" w:type="dxa"/>
          </w:tblCellMar>
        </w:tblPrEx>
        <w:trPr>
          <w:trHeight w:val="78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隔断墙面滚刷</w:t>
            </w:r>
          </w:p>
        </w:tc>
        <w:tc>
          <w:tcPr>
            <w:tcW w:w="6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1.使用921腻子对隔断两面进行滚刷，刮两遍</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159.6</w:t>
            </w:r>
          </w:p>
        </w:tc>
      </w:tr>
      <w:tr>
        <w:tblPrEx>
          <w:tblLayout w:type="fixed"/>
          <w:tblCellMar>
            <w:top w:w="0" w:type="dxa"/>
            <w:left w:w="108" w:type="dxa"/>
            <w:bottom w:w="0" w:type="dxa"/>
            <w:right w:w="108" w:type="dxa"/>
          </w:tblCellMar>
        </w:tblPrEx>
        <w:trPr>
          <w:trHeight w:val="195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水晶卷帘门制作及安装</w:t>
            </w:r>
          </w:p>
        </w:tc>
        <w:tc>
          <w:tcPr>
            <w:tcW w:w="6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一、数量及尺寸</w:t>
            </w:r>
            <w:r>
              <w:rPr>
                <w:rFonts w:hint="eastAsia" w:ascii="宋体" w:hAnsi="宋体" w:cs="宋体"/>
                <w:kern w:val="0"/>
                <w:szCs w:val="18"/>
              </w:rPr>
              <w:br w:type="textWrapping"/>
            </w:r>
            <w:r>
              <w:rPr>
                <w:rFonts w:hint="eastAsia" w:ascii="宋体" w:hAnsi="宋体" w:cs="宋体"/>
                <w:kern w:val="0"/>
                <w:szCs w:val="18"/>
              </w:rPr>
              <w:t>尺寸：宽8.66m*高3.9m的1块，宽7.26m*高3.9m的1块，宽8.86m*高3.9m的1块，宽3.83m*3.9m的1块，合计4块卷帘门</w:t>
            </w:r>
            <w:r>
              <w:rPr>
                <w:rFonts w:hint="eastAsia" w:ascii="宋体" w:hAnsi="宋体" w:cs="宋体"/>
                <w:kern w:val="0"/>
                <w:szCs w:val="18"/>
              </w:rPr>
              <w:br w:type="textWrapping"/>
            </w:r>
            <w:r>
              <w:rPr>
                <w:rFonts w:hint="eastAsia" w:ascii="宋体" w:hAnsi="宋体" w:cs="宋体"/>
                <w:kern w:val="0"/>
                <w:szCs w:val="18"/>
              </w:rPr>
              <w:t>二、做法</w:t>
            </w:r>
            <w:r>
              <w:rPr>
                <w:rFonts w:hint="eastAsia" w:ascii="宋体" w:hAnsi="宋体" w:cs="宋体"/>
                <w:kern w:val="0"/>
                <w:szCs w:val="18"/>
              </w:rPr>
              <w:br w:type="textWrapping"/>
            </w:r>
            <w:r>
              <w:rPr>
                <w:rFonts w:hint="eastAsia" w:ascii="宋体" w:hAnsi="宋体" w:cs="宋体"/>
                <w:kern w:val="0"/>
                <w:szCs w:val="18"/>
              </w:rPr>
              <w:t>1.使用壁厚1.8mm水晶板制作卷帘；</w:t>
            </w:r>
            <w:r>
              <w:rPr>
                <w:rFonts w:hint="eastAsia" w:ascii="宋体" w:hAnsi="宋体" w:cs="宋体"/>
                <w:kern w:val="0"/>
                <w:szCs w:val="18"/>
              </w:rPr>
              <w:br w:type="textWrapping"/>
            </w:r>
            <w:r>
              <w:rPr>
                <w:rFonts w:hint="eastAsia" w:ascii="宋体" w:hAnsi="宋体" w:cs="宋体"/>
                <w:kern w:val="0"/>
                <w:szCs w:val="18"/>
              </w:rPr>
              <w:t>2.轨道使用壁厚2mm，宽100mm镀锌钢板；</w:t>
            </w:r>
            <w:r>
              <w:rPr>
                <w:rFonts w:hint="eastAsia" w:ascii="宋体" w:hAnsi="宋体" w:cs="宋体"/>
                <w:kern w:val="0"/>
                <w:szCs w:val="18"/>
              </w:rPr>
              <w:br w:type="textWrapping"/>
            </w:r>
            <w:r>
              <w:rPr>
                <w:rFonts w:hint="eastAsia" w:ascii="宋体" w:hAnsi="宋体" w:cs="宋体"/>
                <w:kern w:val="0"/>
                <w:szCs w:val="18"/>
              </w:rPr>
              <w:t>3.使用承载600公斤的高硕威视全通电机，合计4台</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112.4</w:t>
            </w:r>
          </w:p>
        </w:tc>
      </w:tr>
      <w:tr>
        <w:tblPrEx>
          <w:tblLayout w:type="fixed"/>
          <w:tblCellMar>
            <w:top w:w="0" w:type="dxa"/>
            <w:left w:w="108" w:type="dxa"/>
            <w:bottom w:w="0" w:type="dxa"/>
            <w:right w:w="108" w:type="dxa"/>
          </w:tblCellMar>
        </w:tblPrEx>
        <w:trPr>
          <w:trHeight w:val="945"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灯光布线</w:t>
            </w:r>
          </w:p>
        </w:tc>
        <w:tc>
          <w:tcPr>
            <w:tcW w:w="6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1.使用国际4平方铜线（两根），20的PVC线管进行布线，共长56m；</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m</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56</w:t>
            </w:r>
          </w:p>
        </w:tc>
      </w:tr>
      <w:tr>
        <w:tblPrEx>
          <w:tblLayout w:type="fixed"/>
          <w:tblCellMar>
            <w:top w:w="0" w:type="dxa"/>
            <w:left w:w="108" w:type="dxa"/>
            <w:bottom w:w="0" w:type="dxa"/>
            <w:right w:w="108" w:type="dxa"/>
          </w:tblCellMar>
        </w:tblPrEx>
        <w:trPr>
          <w:trHeight w:val="945"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灯光增加</w:t>
            </w:r>
          </w:p>
        </w:tc>
        <w:tc>
          <w:tcPr>
            <w:tcW w:w="6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1.增加T8灯管14套</w:t>
            </w:r>
            <w:r>
              <w:rPr>
                <w:rFonts w:hint="eastAsia" w:ascii="宋体" w:hAnsi="宋体" w:cs="宋体"/>
                <w:kern w:val="0"/>
                <w:szCs w:val="18"/>
              </w:rPr>
              <w:br w:type="textWrapping"/>
            </w:r>
            <w:r>
              <w:rPr>
                <w:rFonts w:hint="eastAsia" w:ascii="宋体" w:hAnsi="宋体" w:cs="宋体"/>
                <w:kern w:val="0"/>
                <w:szCs w:val="18"/>
              </w:rPr>
              <w:t>2.单根，长1200mm，30w</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套</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14</w:t>
            </w:r>
          </w:p>
        </w:tc>
      </w:tr>
    </w:tbl>
    <w:p/>
    <w:p>
      <w:pPr>
        <w:autoSpaceDE w:val="0"/>
        <w:autoSpaceDN w:val="0"/>
        <w:adjustRightInd w:val="0"/>
        <w:spacing w:line="360" w:lineRule="auto"/>
        <w:ind w:firstLine="551" w:firstLineChars="196"/>
        <w:rPr>
          <w:rFonts w:ascii="仿宋" w:hAnsi="仿宋" w:eastAsia="仿宋" w:cs="仿宋_GB2312"/>
          <w:b/>
          <w:color w:val="000000"/>
          <w:sz w:val="28"/>
          <w:szCs w:val="28"/>
        </w:rPr>
      </w:pPr>
      <w:r>
        <w:rPr>
          <w:rFonts w:hint="eastAsia" w:ascii="仿宋" w:hAnsi="仿宋" w:eastAsia="仿宋" w:cs="仿宋_GB2312"/>
          <w:b/>
          <w:color w:val="000000"/>
          <w:sz w:val="28"/>
          <w:szCs w:val="28"/>
        </w:rPr>
        <w:t>（二）其他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1．维修的增加或减少以实际发生为准，各业务承接以交付的时间为准；</w:t>
      </w:r>
    </w:p>
    <w:p>
      <w:pPr>
        <w:autoSpaceDE w:val="0"/>
        <w:autoSpaceDN w:val="0"/>
        <w:adjustRightInd w:val="0"/>
        <w:spacing w:line="360" w:lineRule="auto"/>
        <w:ind w:firstLine="562" w:firstLineChars="200"/>
        <w:rPr>
          <w:rFonts w:ascii="仿宋" w:hAnsi="仿宋" w:eastAsia="仿宋" w:cs="仿宋_GB2312"/>
          <w:b/>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于7月</w:t>
      </w:r>
      <w:r>
        <w:rPr>
          <w:rFonts w:hint="eastAsia" w:ascii="仿宋" w:hAnsi="仿宋" w:eastAsia="仿宋"/>
          <w:b/>
          <w:color w:val="000000" w:themeColor="text1"/>
          <w:sz w:val="28"/>
          <w:szCs w:val="28"/>
          <w:lang w:val="en-US" w:eastAsia="zh-CN"/>
        </w:rPr>
        <w:t>16</w:t>
      </w:r>
      <w:r>
        <w:rPr>
          <w:rFonts w:hint="eastAsia" w:ascii="仿宋" w:hAnsi="仿宋" w:eastAsia="仿宋"/>
          <w:b/>
          <w:color w:val="000000" w:themeColor="text1"/>
          <w:sz w:val="28"/>
          <w:szCs w:val="28"/>
        </w:rPr>
        <w:t>日</w:t>
      </w:r>
    </w:p>
    <w:p>
      <w:pPr>
        <w:autoSpaceDE w:val="0"/>
        <w:autoSpaceDN w:val="0"/>
        <w:adjustRightInd w:val="0"/>
        <w:spacing w:line="360" w:lineRule="auto"/>
        <w:ind w:firstLine="562" w:firstLineChars="200"/>
        <w:rPr>
          <w:rFonts w:ascii="仿宋" w:hAnsi="仿宋" w:eastAsia="仿宋"/>
        </w:rPr>
      </w:pPr>
      <w:r>
        <w:rPr>
          <w:rFonts w:hint="eastAsia" w:ascii="仿宋" w:hAnsi="仿宋" w:eastAsia="仿宋"/>
          <w:b/>
          <w:color w:val="000000"/>
          <w:sz w:val="28"/>
          <w:szCs w:val="28"/>
        </w:rPr>
        <w:t>联系人：何国栋         联系电话：0477-3855818</w:t>
      </w:r>
      <w:r>
        <w:rPr>
          <w:rFonts w:ascii="仿宋" w:hAnsi="仿宋" w:eastAsia="仿宋"/>
        </w:rPr>
        <w:br w:type="page"/>
      </w:r>
    </w:p>
    <w:p>
      <w:pPr>
        <w:pStyle w:val="2"/>
        <w:spacing w:line="360" w:lineRule="auto"/>
        <w:rPr>
          <w:rFonts w:ascii="仿宋" w:hAnsi="仿宋" w:eastAsia="仿宋"/>
        </w:rPr>
      </w:pPr>
      <w:bookmarkStart w:id="10" w:name="_Toc510190961"/>
      <w:r>
        <w:rPr>
          <w:rFonts w:hint="eastAsia" w:ascii="仿宋" w:hAnsi="仿宋" w:eastAsia="仿宋"/>
        </w:rPr>
        <w:t>第三章 投标人须知</w:t>
      </w:r>
      <w:bookmarkEnd w:id="10"/>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1" w:name="_Toc510190962"/>
      <w:r>
        <w:rPr>
          <w:rFonts w:hint="eastAsia" w:ascii="仿宋" w:hAnsi="仿宋" w:eastAsia="仿宋"/>
          <w:sz w:val="28"/>
          <w:szCs w:val="28"/>
        </w:rPr>
        <w:t>一、供应商资格要求</w:t>
      </w:r>
      <w:bookmarkEnd w:id="11"/>
    </w:p>
    <w:p>
      <w:pPr>
        <w:pStyle w:val="4"/>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（一）供应商应符合《中华人民共和国政府采购法》第二十二条规定的条件；</w:t>
      </w:r>
    </w:p>
    <w:p>
      <w:pPr>
        <w:spacing w:line="360" w:lineRule="auto"/>
        <w:ind w:right="57" w:firstLine="560" w:firstLineChars="200"/>
        <w:rPr>
          <w:rFonts w:hint="eastAsia" w:ascii="仿宋" w:hAnsi="仿宋" w:eastAsia="仿宋"/>
          <w:color w:val="000000"/>
          <w:sz w:val="28"/>
          <w:szCs w:val="28"/>
        </w:rPr>
      </w:pPr>
      <w:r>
        <w:rPr>
          <w:rFonts w:hint="eastAsia" w:ascii="仿宋" w:hAnsi="仿宋" w:eastAsia="仿宋"/>
          <w:color w:val="000000"/>
          <w:sz w:val="28"/>
          <w:szCs w:val="28"/>
        </w:rPr>
        <w:t>（二）供应商须在投标文件中提供企业工商注册所在地或项目所在地检察机关出具的《检察机关行贿犯罪档案查询结果告知函》（在有效期范围内）</w:t>
      </w:r>
    </w:p>
    <w:p>
      <w:pPr>
        <w:spacing w:line="600" w:lineRule="exact"/>
        <w:ind w:right="57"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（三）投标商应具有建筑维修类相关营业范围</w:t>
      </w:r>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2" w:name="_Toc510190963"/>
      <w:r>
        <w:rPr>
          <w:rFonts w:hint="eastAsia" w:ascii="仿宋" w:hAnsi="仿宋" w:eastAsia="仿宋"/>
          <w:sz w:val="28"/>
          <w:szCs w:val="28"/>
        </w:rPr>
        <w:t>二、响应文件的构成</w:t>
      </w:r>
      <w:bookmarkEnd w:id="12"/>
    </w:p>
    <w:p>
      <w:pPr>
        <w:pStyle w:val="4"/>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w:t>
      </w:r>
      <w:r>
        <w:rPr>
          <w:rFonts w:hint="eastAsia" w:ascii="仿宋" w:hAnsi="仿宋" w:eastAsia="仿宋"/>
          <w:bCs/>
          <w:color w:val="000000"/>
          <w:sz w:val="28"/>
          <w:szCs w:val="28"/>
          <w:lang w:eastAsia="zh-CN"/>
        </w:rPr>
        <w:t>必须</w:t>
      </w:r>
      <w:r>
        <w:rPr>
          <w:rFonts w:hint="eastAsia" w:ascii="仿宋" w:hAnsi="仿宋" w:eastAsia="仿宋"/>
          <w:bCs/>
          <w:color w:val="000000"/>
          <w:sz w:val="28"/>
          <w:szCs w:val="28"/>
        </w:rPr>
        <w:t>包括但不少于下列内容：</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2、法定代表人授权委托书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以上响应文件需递交正本1份，副本3份，PDF格式电子文档1份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000000"/>
          <w:sz w:val="28"/>
          <w:szCs w:val="28"/>
        </w:rPr>
        <w:t>响应文件及资料无论供应商是否中标均不予退还。</w:t>
      </w:r>
    </w:p>
    <w:p>
      <w:pPr>
        <w:pStyle w:val="3"/>
        <w:spacing w:line="360" w:lineRule="auto"/>
        <w:ind w:firstLine="562" w:firstLineChars="200"/>
        <w:rPr>
          <w:rFonts w:ascii="仿宋" w:hAnsi="仿宋" w:eastAsia="仿宋"/>
          <w:sz w:val="28"/>
        </w:rPr>
      </w:pPr>
      <w:bookmarkStart w:id="13" w:name="_Toc510190964"/>
      <w:bookmarkStart w:id="14" w:name="_Toc444009372"/>
      <w:r>
        <w:rPr>
          <w:rFonts w:hint="eastAsia" w:ascii="仿宋" w:hAnsi="仿宋" w:eastAsia="仿宋"/>
          <w:sz w:val="28"/>
        </w:rPr>
        <w:t>三、评标与中标</w:t>
      </w:r>
      <w:bookmarkEnd w:id="13"/>
      <w:bookmarkEnd w:id="14"/>
    </w:p>
    <w:p>
      <w:pPr>
        <w:pStyle w:val="4"/>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（一）成立谈判小组</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4、根据谈判及评分表内容详细审查并评判；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5、根据评分表得分情况推荐并确定中标候选人。</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（二）谈判与评标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2、磋商</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谈磋商小组对响应文件响应情况、报价比例、企业资质与业绩、执行合同能力等方面进行全面比较与评价，了解和掌握各实质性响应供应商的响应程度，进行项目磋商准备。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通过供应商先后按时到场顺序确定参加谈判供应商的谈判顺序，所有谈判小组成员集体与每位供应商分别进行单独谈判，谈判轮次由小组成员视情况而定。</w:t>
      </w:r>
    </w:p>
    <w:p>
      <w:pPr>
        <w:pStyle w:val="4"/>
        <w:numPr>
          <w:ilvl w:val="0"/>
          <w:numId w:val="1"/>
        </w:num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adjustRightInd w:val="0"/>
        <w:snapToGrid w:val="0"/>
        <w:spacing w:line="360" w:lineRule="auto"/>
        <w:ind w:right="-10" w:firstLine="490" w:firstLineChars="175"/>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b/>
          <w:bCs/>
          <w:color w:val="000000"/>
          <w:kern w:val="0"/>
          <w:sz w:val="28"/>
          <w:szCs w:val="28"/>
          <w:u w:val="single"/>
        </w:rPr>
        <w:t>综合评估法</w:t>
      </w:r>
      <w:r>
        <w:rPr>
          <w:rFonts w:ascii="仿宋" w:hAnsi="仿宋" w:eastAsia="仿宋"/>
          <w:color w:val="000000"/>
          <w:kern w:val="0"/>
          <w:sz w:val="28"/>
          <w:szCs w:val="28"/>
        </w:rPr>
        <w:t>进行评标，即在最大限度地满足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文件中规定的各项因素进行综合评审</w:t>
      </w:r>
      <w:r>
        <w:rPr>
          <w:rFonts w:hint="eastAsia" w:ascii="仿宋" w:hAnsi="仿宋" w:eastAsia="仿宋"/>
          <w:color w:val="000000"/>
          <w:kern w:val="0"/>
          <w:sz w:val="28"/>
          <w:szCs w:val="28"/>
        </w:rPr>
        <w:t>，</w:t>
      </w:r>
      <w:r>
        <w:rPr>
          <w:rFonts w:hint="eastAsia" w:ascii="仿宋" w:hAnsi="仿宋" w:eastAsia="仿宋"/>
          <w:color w:val="000000"/>
          <w:kern w:val="0"/>
          <w:sz w:val="28"/>
          <w:szCs w:val="28"/>
          <w:lang w:eastAsia="zh-CN"/>
        </w:rPr>
        <w:t>其中价格占总分</w:t>
      </w:r>
      <w:r>
        <w:rPr>
          <w:rFonts w:hint="eastAsia" w:ascii="仿宋" w:hAnsi="仿宋" w:eastAsia="仿宋"/>
          <w:color w:val="000000"/>
          <w:kern w:val="0"/>
          <w:sz w:val="28"/>
          <w:szCs w:val="28"/>
          <w:lang w:val="en-US" w:eastAsia="zh-CN"/>
        </w:rPr>
        <w:t>50%，投标人标书规范程度、响应程度、服务质量、施工方案、服务业绩、公司资质等商业部分及技术部分占总分50%，综合考虑推荐最佳优秀中标人。</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pPr>
        <w:pStyle w:val="4"/>
        <w:spacing w:line="360" w:lineRule="auto"/>
        <w:ind w:firstLine="618"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rPr>
          <w:rFonts w:ascii="仿宋" w:hAnsi="仿宋" w:eastAsia="仿宋"/>
          <w:color w:val="000000"/>
          <w:sz w:val="28"/>
          <w:szCs w:val="28"/>
        </w:rPr>
      </w:pPr>
    </w:p>
    <w:p>
      <w:pPr>
        <w:spacing w:line="360" w:lineRule="auto"/>
        <w:ind w:firstLine="556"/>
        <w:jc w:val="left"/>
        <w:outlineLvl w:val="0"/>
        <w:rPr>
          <w:rFonts w:ascii="仿宋" w:hAnsi="仿宋" w:eastAsia="仿宋" w:cs="Times New Roman"/>
          <w:bCs/>
          <w:kern w:val="44"/>
          <w:sz w:val="44"/>
          <w:szCs w:val="44"/>
        </w:rPr>
      </w:pPr>
      <w:bookmarkStart w:id="15" w:name="_Toc510190965"/>
      <w:r>
        <w:rPr>
          <w:rFonts w:hint="eastAsia" w:ascii="仿宋" w:hAnsi="仿宋" w:eastAsia="仿宋" w:cs="Times New Roman"/>
          <w:bCs/>
          <w:kern w:val="44"/>
          <w:sz w:val="44"/>
          <w:szCs w:val="44"/>
        </w:rPr>
        <w:t>第四章、响应文件格式与要求</w:t>
      </w:r>
      <w:bookmarkEnd w:id="15"/>
      <w:r>
        <w:rPr>
          <w:rFonts w:hint="eastAsia" w:ascii="仿宋" w:hAnsi="仿宋" w:eastAsia="仿宋" w:cs="Times New Roman"/>
          <w:bCs/>
          <w:kern w:val="44"/>
          <w:sz w:val="44"/>
          <w:szCs w:val="44"/>
          <w:lang w:eastAsia="zh-CN"/>
        </w:rPr>
        <w:t>（仅供参考）</w:t>
      </w:r>
    </w:p>
    <w:p>
      <w:pPr>
        <w:pStyle w:val="3"/>
        <w:ind w:firstLine="560" w:firstLineChars="200"/>
        <w:rPr>
          <w:rFonts w:ascii="仿宋" w:hAnsi="仿宋" w:eastAsia="仿宋"/>
          <w:b w:val="0"/>
          <w:sz w:val="28"/>
        </w:rPr>
      </w:pPr>
      <w:bookmarkStart w:id="16" w:name="_Toc510190966"/>
      <w:r>
        <w:rPr>
          <w:rFonts w:hint="eastAsia" w:ascii="仿宋" w:hAnsi="仿宋" w:eastAsia="仿宋"/>
          <w:b w:val="0"/>
          <w:sz w:val="28"/>
        </w:rPr>
        <w:t>格式一：</w:t>
      </w:r>
      <w:bookmarkEnd w:id="16"/>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询价</w:t>
      </w:r>
      <w:r>
        <w:rPr>
          <w:rFonts w:hint="eastAsia" w:ascii="仿宋" w:hAnsi="仿宋" w:eastAsia="仿宋"/>
          <w:sz w:val="52"/>
          <w:szCs w:val="52"/>
          <w:lang w:val="en-US" w:eastAsia="zh-CN"/>
        </w:rPr>
        <w:t>/竞争性</w:t>
      </w:r>
      <w:r>
        <w:rPr>
          <w:rFonts w:hint="eastAsia" w:ascii="仿宋" w:hAnsi="仿宋" w:eastAsia="仿宋"/>
          <w:sz w:val="52"/>
          <w:szCs w:val="52"/>
        </w:rPr>
        <w:t>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17" w:name="_Toc510190967"/>
      <w:r>
        <w:rPr>
          <w:rFonts w:hint="eastAsia" w:ascii="仿宋" w:hAnsi="仿宋" w:eastAsia="仿宋"/>
        </w:rPr>
        <w:t>格式二：</w:t>
      </w:r>
      <w:bookmarkEnd w:id="17"/>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rPr>
          <w:rFonts w:ascii="仿宋" w:hAnsi="仿宋" w:eastAsia="仿宋"/>
          <w:sz w:val="44"/>
          <w:szCs w:val="44"/>
        </w:rPr>
      </w:pPr>
    </w:p>
    <w:p>
      <w:pPr>
        <w:pStyle w:val="3"/>
        <w:rPr>
          <w:rFonts w:ascii="仿宋" w:hAnsi="仿宋" w:eastAsia="仿宋"/>
        </w:rPr>
      </w:pPr>
      <w:bookmarkStart w:id="18" w:name="_Toc510190968"/>
      <w:r>
        <w:rPr>
          <w:rFonts w:hint="eastAsia" w:ascii="仿宋" w:hAnsi="仿宋" w:eastAsia="仿宋"/>
        </w:rPr>
        <w:t>格式三</w:t>
      </w:r>
      <w:bookmarkEnd w:id="18"/>
    </w:p>
    <w:p>
      <w:pPr>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仿宋" w:hAnsi="仿宋" w:eastAsia="仿宋"/>
        </w:rPr>
      </w:pPr>
      <w:bookmarkStart w:id="19" w:name="_Toc510190969"/>
      <w:r>
        <w:rPr>
          <w:rFonts w:hint="eastAsia" w:ascii="仿宋" w:hAnsi="仿宋" w:eastAsia="仿宋"/>
        </w:rPr>
        <w:t>格式四</w:t>
      </w:r>
      <w:bookmarkEnd w:id="19"/>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1"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0"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spacing w:line="450" w:lineRule="exact"/>
        <w:ind w:firstLine="56" w:firstLineChars="20"/>
        <w:rPr>
          <w:rFonts w:ascii="仿宋" w:hAnsi="仿宋" w:eastAsia="仿宋"/>
          <w:sz w:val="28"/>
          <w:szCs w:val="28"/>
        </w:rPr>
      </w:pPr>
    </w:p>
    <w:p>
      <w:pPr>
        <w:rPr>
          <w:rFonts w:ascii="仿宋" w:hAnsi="仿宋" w:eastAsia="仿宋"/>
          <w:sz w:val="28"/>
          <w:szCs w:val="28"/>
        </w:rPr>
      </w:pPr>
    </w:p>
    <w:p>
      <w:pPr>
        <w:pStyle w:val="3"/>
        <w:rPr>
          <w:rFonts w:ascii="仿宋" w:hAnsi="仿宋" w:eastAsia="仿宋"/>
        </w:rPr>
      </w:pPr>
      <w:bookmarkStart w:id="20" w:name="_Toc510190970"/>
      <w:r>
        <w:rPr>
          <w:rFonts w:hint="eastAsia" w:ascii="仿宋" w:hAnsi="仿宋" w:eastAsia="仿宋"/>
        </w:rPr>
        <w:t>格式五</w:t>
      </w:r>
      <w:bookmarkEnd w:id="20"/>
    </w:p>
    <w:p>
      <w:pPr>
        <w:jc w:val="center"/>
        <w:rPr>
          <w:rFonts w:ascii="仿宋" w:hAnsi="仿宋" w:eastAsia="仿宋"/>
          <w:sz w:val="28"/>
          <w:szCs w:val="28"/>
        </w:rPr>
      </w:pPr>
      <w:r>
        <w:rPr>
          <w:rFonts w:hint="eastAsia" w:ascii="仿宋" w:hAnsi="仿宋" w:eastAsia="仿宋"/>
          <w:sz w:val="28"/>
          <w:szCs w:val="28"/>
        </w:rPr>
        <w:t>投标项目分项报价明细表</w:t>
      </w:r>
    </w:p>
    <w:p>
      <w:pPr>
        <w:spacing w:line="460" w:lineRule="exact"/>
        <w:jc w:val="center"/>
        <w:rPr>
          <w:rFonts w:ascii="仿宋" w:hAnsi="仿宋" w:eastAsia="仿宋"/>
          <w:b/>
          <w:color w:val="000000"/>
          <w:sz w:val="28"/>
          <w:szCs w:val="28"/>
        </w:rPr>
      </w:pPr>
    </w:p>
    <w:p>
      <w:pPr>
        <w:rPr>
          <w:rFonts w:ascii="仿宋" w:hAnsi="仿宋" w:eastAsia="仿宋"/>
          <w:sz w:val="28"/>
          <w:szCs w:val="28"/>
        </w:rPr>
      </w:pPr>
      <w:r>
        <w:rPr>
          <w:rFonts w:hint="eastAsia" w:ascii="仿宋" w:hAnsi="仿宋" w:eastAsia="仿宋"/>
          <w:sz w:val="28"/>
          <w:szCs w:val="28"/>
        </w:rPr>
        <w:t>项目名称：</w:t>
      </w:r>
    </w:p>
    <w:tbl>
      <w:tblPr>
        <w:tblStyle w:val="11"/>
        <w:tblW w:w="978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552"/>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552" w:type="dxa"/>
            <w:vAlign w:val="center"/>
          </w:tcPr>
          <w:p>
            <w:pPr>
              <w:jc w:val="center"/>
              <w:rPr>
                <w:rFonts w:ascii="仿宋" w:hAnsi="仿宋" w:eastAsia="仿宋"/>
                <w:b/>
                <w:sz w:val="28"/>
                <w:szCs w:val="28"/>
              </w:rPr>
            </w:pPr>
            <w:r>
              <w:rPr>
                <w:rFonts w:hint="eastAsia" w:ascii="仿宋" w:hAnsi="仿宋" w:eastAsia="仿宋"/>
                <w:b/>
                <w:sz w:val="28"/>
                <w:szCs w:val="28"/>
              </w:rPr>
              <w:t>服务项目名称</w:t>
            </w:r>
          </w:p>
        </w:tc>
        <w:tc>
          <w:tcPr>
            <w:tcW w:w="1417" w:type="dxa"/>
            <w:vAlign w:val="center"/>
          </w:tcPr>
          <w:p>
            <w:pPr>
              <w:jc w:val="center"/>
              <w:rPr>
                <w:rFonts w:ascii="仿宋" w:hAnsi="仿宋" w:eastAsia="仿宋"/>
                <w:b/>
                <w:sz w:val="28"/>
                <w:szCs w:val="28"/>
              </w:rPr>
            </w:pPr>
            <w:r>
              <w:rPr>
                <w:rFonts w:hint="eastAsia" w:ascii="仿宋" w:hAnsi="仿宋" w:eastAsia="仿宋"/>
                <w:b/>
                <w:sz w:val="28"/>
                <w:szCs w:val="28"/>
              </w:rPr>
              <w:t>项目特征</w:t>
            </w:r>
          </w:p>
        </w:tc>
        <w:tc>
          <w:tcPr>
            <w:tcW w:w="1701" w:type="dxa"/>
            <w:vAlign w:val="center"/>
          </w:tcPr>
          <w:p>
            <w:pPr>
              <w:jc w:val="center"/>
              <w:rPr>
                <w:rFonts w:ascii="仿宋" w:hAnsi="仿宋" w:eastAsia="仿宋"/>
                <w:b/>
                <w:sz w:val="28"/>
                <w:szCs w:val="28"/>
              </w:rPr>
            </w:pPr>
            <w:r>
              <w:rPr>
                <w:rFonts w:hint="eastAsia" w:ascii="仿宋" w:hAnsi="仿宋" w:eastAsia="仿宋"/>
                <w:b/>
                <w:sz w:val="28"/>
                <w:szCs w:val="28"/>
              </w:rPr>
              <w:t>单价（元）</w:t>
            </w:r>
          </w:p>
        </w:tc>
        <w:tc>
          <w:tcPr>
            <w:tcW w:w="1843" w:type="dxa"/>
            <w:vAlign w:val="center"/>
          </w:tcPr>
          <w:p>
            <w:pPr>
              <w:jc w:val="center"/>
              <w:rPr>
                <w:rFonts w:ascii="仿宋" w:hAnsi="仿宋" w:eastAsia="仿宋"/>
                <w:b/>
                <w:sz w:val="28"/>
                <w:szCs w:val="28"/>
              </w:rPr>
            </w:pPr>
            <w:r>
              <w:rPr>
                <w:rFonts w:hint="eastAsia" w:ascii="仿宋" w:hAnsi="仿宋" w:eastAsia="仿宋"/>
                <w:b/>
                <w:sz w:val="28"/>
                <w:szCs w:val="28"/>
              </w:rPr>
              <w:t>总价（元）</w:t>
            </w:r>
          </w:p>
        </w:tc>
        <w:tc>
          <w:tcPr>
            <w:tcW w:w="1134" w:type="dxa"/>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rPr>
                <w:rFonts w:ascii="仿宋" w:hAnsi="仿宋" w:eastAsia="仿宋"/>
                <w:sz w:val="28"/>
                <w:szCs w:val="28"/>
              </w:rPr>
            </w:pPr>
            <w:r>
              <w:rPr>
                <w:rFonts w:ascii="仿宋" w:hAnsi="仿宋" w:eastAsia="仿宋"/>
                <w:sz w:val="28"/>
                <w:szCs w:val="28"/>
              </w:rPr>
              <w:t xml:space="preserve"> </w:t>
            </w: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highlight w:val="yellow"/>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bl>
    <w:p>
      <w:pPr>
        <w:adjustRightInd w:val="0"/>
        <w:snapToGrid w:val="0"/>
        <w:spacing w:line="460" w:lineRule="exact"/>
        <w:rPr>
          <w:rFonts w:ascii="仿宋" w:hAnsi="仿宋" w:eastAsia="仿宋"/>
          <w:color w:val="000000"/>
          <w:sz w:val="28"/>
          <w:szCs w:val="28"/>
        </w:rPr>
      </w:pPr>
      <w:r>
        <w:rPr>
          <w:rFonts w:hint="eastAsia" w:ascii="仿宋" w:hAnsi="仿宋" w:eastAsia="仿宋"/>
          <w:color w:val="000000"/>
          <w:sz w:val="28"/>
          <w:szCs w:val="28"/>
        </w:rPr>
        <w:t>说明：服务项目尽可能详细列出。</w:t>
      </w:r>
    </w:p>
    <w:p>
      <w:pPr>
        <w:pStyle w:val="3"/>
        <w:rPr>
          <w:rFonts w:ascii="仿宋" w:hAnsi="仿宋" w:eastAsia="仿宋"/>
        </w:rPr>
      </w:pPr>
      <w:bookmarkStart w:id="21" w:name="_Toc359315317"/>
      <w:bookmarkStart w:id="22" w:name="_Toc510190971"/>
      <w:r>
        <w:rPr>
          <w:rFonts w:hint="eastAsia" w:ascii="仿宋" w:hAnsi="仿宋" w:eastAsia="仿宋"/>
        </w:rPr>
        <w:t>格式六：</w:t>
      </w:r>
      <w:bookmarkEnd w:id="21"/>
      <w:bookmarkEnd w:id="22"/>
    </w:p>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autoSpaceDE w:val="0"/>
        <w:autoSpaceDN w:val="0"/>
        <w:spacing w:line="460" w:lineRule="exact"/>
        <w:jc w:val="center"/>
        <w:rPr>
          <w:rFonts w:ascii="仿宋" w:hAnsi="仿宋" w:eastAsia="仿宋"/>
          <w:color w:val="000000"/>
          <w:sz w:val="36"/>
          <w:szCs w:val="36"/>
        </w:rPr>
      </w:pPr>
    </w:p>
    <w:p>
      <w:pPr>
        <w:jc w:val="center"/>
        <w:rPr>
          <w:rFonts w:ascii="仿宋" w:hAnsi="仿宋" w:eastAsia="仿宋"/>
          <w:b/>
          <w:color w:val="000000"/>
          <w:sz w:val="36"/>
          <w:szCs w:val="36"/>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szCs w:val="28"/>
        </w:rPr>
      </w:pPr>
    </w:p>
    <w:p/>
    <w:sectPr>
      <w:headerReference r:id="rId3" w:type="default"/>
      <w:footerReference r:id="rId4"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9</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D92"/>
    <w:rsid w:val="0000364A"/>
    <w:rsid w:val="0000694E"/>
    <w:rsid w:val="00045F16"/>
    <w:rsid w:val="00051A2A"/>
    <w:rsid w:val="000D2633"/>
    <w:rsid w:val="000D39A5"/>
    <w:rsid w:val="000E6199"/>
    <w:rsid w:val="00113300"/>
    <w:rsid w:val="00143D06"/>
    <w:rsid w:val="001530C3"/>
    <w:rsid w:val="00193B2C"/>
    <w:rsid w:val="001B2D04"/>
    <w:rsid w:val="001C2F87"/>
    <w:rsid w:val="00207D5A"/>
    <w:rsid w:val="002740FC"/>
    <w:rsid w:val="002B7D56"/>
    <w:rsid w:val="0032276F"/>
    <w:rsid w:val="003D10E9"/>
    <w:rsid w:val="003D4848"/>
    <w:rsid w:val="00433B33"/>
    <w:rsid w:val="0044474F"/>
    <w:rsid w:val="004901CD"/>
    <w:rsid w:val="005D63D5"/>
    <w:rsid w:val="006137D7"/>
    <w:rsid w:val="006408E9"/>
    <w:rsid w:val="0064727E"/>
    <w:rsid w:val="00681310"/>
    <w:rsid w:val="006956AF"/>
    <w:rsid w:val="00705EBB"/>
    <w:rsid w:val="0072798B"/>
    <w:rsid w:val="007B08DD"/>
    <w:rsid w:val="00817DC0"/>
    <w:rsid w:val="008268BE"/>
    <w:rsid w:val="008513CE"/>
    <w:rsid w:val="008537A5"/>
    <w:rsid w:val="00885FF8"/>
    <w:rsid w:val="008E1EA8"/>
    <w:rsid w:val="008E783C"/>
    <w:rsid w:val="00944D3A"/>
    <w:rsid w:val="00985B58"/>
    <w:rsid w:val="009C1FE8"/>
    <w:rsid w:val="00A052B7"/>
    <w:rsid w:val="00A212FF"/>
    <w:rsid w:val="00A829C4"/>
    <w:rsid w:val="00A9432F"/>
    <w:rsid w:val="00AE583E"/>
    <w:rsid w:val="00AF3658"/>
    <w:rsid w:val="00B1567E"/>
    <w:rsid w:val="00BA420A"/>
    <w:rsid w:val="00BC2785"/>
    <w:rsid w:val="00C817DA"/>
    <w:rsid w:val="00C82BFF"/>
    <w:rsid w:val="00CA359A"/>
    <w:rsid w:val="00CC0F34"/>
    <w:rsid w:val="00CC20BF"/>
    <w:rsid w:val="00D25B08"/>
    <w:rsid w:val="00D37C87"/>
    <w:rsid w:val="00D76FAE"/>
    <w:rsid w:val="00E07094"/>
    <w:rsid w:val="00E078E9"/>
    <w:rsid w:val="00E80658"/>
    <w:rsid w:val="00E86364"/>
    <w:rsid w:val="00EE5D92"/>
    <w:rsid w:val="00EE7179"/>
    <w:rsid w:val="00F273D9"/>
    <w:rsid w:val="00F43D5D"/>
    <w:rsid w:val="00F561D9"/>
    <w:rsid w:val="00FC5F4B"/>
    <w:rsid w:val="00FD2F55"/>
    <w:rsid w:val="16A127B0"/>
    <w:rsid w:val="32640704"/>
    <w:rsid w:val="6455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15"/>
    <w:qFormat/>
    <w:uiPriority w:val="99"/>
    <w:pPr>
      <w:keepNext/>
      <w:keepLines/>
      <w:spacing w:line="416" w:lineRule="auto"/>
      <w:outlineLvl w:val="1"/>
    </w:pPr>
    <w:rPr>
      <w:rFonts w:ascii="Cambria" w:hAnsi="Cambria" w:eastAsia="仿宋_GB2312" w:cs="Cambria"/>
      <w:b/>
      <w:bCs/>
      <w:kern w:val="0"/>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6"/>
    <w:qFormat/>
    <w:uiPriority w:val="0"/>
    <w:pPr>
      <w:jc w:val="left"/>
    </w:pPr>
    <w:rPr>
      <w:rFonts w:ascii="宋体" w:hAnsi="Courier New" w:cs="宋体"/>
      <w:kern w:val="0"/>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style>
  <w:style w:type="paragraph" w:styleId="8">
    <w:name w:val="toc 2"/>
    <w:basedOn w:val="1"/>
    <w:next w:val="1"/>
    <w:uiPriority w:val="39"/>
    <w:pPr>
      <w:ind w:left="420" w:leftChars="200"/>
    </w:pPr>
  </w:style>
  <w:style w:type="character" w:styleId="10">
    <w:name w:val="Hyperlink"/>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标题 1 Char"/>
    <w:basedOn w:val="9"/>
    <w:link w:val="2"/>
    <w:qFormat/>
    <w:uiPriority w:val="99"/>
    <w:rPr>
      <w:rFonts w:ascii="Times New Roman" w:hAnsi="Times New Roman" w:eastAsia="仿宋_GB2312" w:cs="Times New Roman"/>
      <w:b/>
      <w:bCs/>
      <w:kern w:val="44"/>
      <w:sz w:val="44"/>
      <w:szCs w:val="44"/>
    </w:rPr>
  </w:style>
  <w:style w:type="character" w:customStyle="1" w:styleId="15">
    <w:name w:val="标题 2 Char"/>
    <w:basedOn w:val="9"/>
    <w:link w:val="3"/>
    <w:uiPriority w:val="99"/>
    <w:rPr>
      <w:rFonts w:ascii="Cambria" w:hAnsi="Cambria" w:eastAsia="仿宋_GB2312" w:cs="Cambria"/>
      <w:b/>
      <w:bCs/>
      <w:kern w:val="0"/>
      <w:sz w:val="32"/>
      <w:szCs w:val="32"/>
    </w:rPr>
  </w:style>
  <w:style w:type="character" w:customStyle="1" w:styleId="16">
    <w:name w:val="纯文本 Char"/>
    <w:basedOn w:val="9"/>
    <w:link w:val="4"/>
    <w:qFormat/>
    <w:uiPriority w:val="0"/>
    <w:rPr>
      <w:rFonts w:ascii="宋体" w:hAnsi="Courier New"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6CEC4-81F9-47A9-A2F2-816E94C3CC11}">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743</Words>
  <Characters>4241</Characters>
  <Lines>35</Lines>
  <Paragraphs>9</Paragraphs>
  <TotalTime>0</TotalTime>
  <ScaleCrop>false</ScaleCrop>
  <LinksUpToDate>false</LinksUpToDate>
  <CharactersWithSpaces>4975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2017-04-13T07:01:00Z</dcterms:created>
  <dc:creator>王琴</dc:creator>
  <cp:lastModifiedBy>重生の记忆</cp:lastModifiedBy>
  <cp:lastPrinted>2018-07-04T09:56:00Z</cp:lastPrinted>
  <dcterms:modified xsi:type="dcterms:W3CDTF">2018-07-13T02:09:03Z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